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10BFA" w14:textId="5F7315FD" w:rsidR="007562D0" w:rsidRDefault="007562D0">
      <w:pPr>
        <w:ind w:right="282"/>
        <w:jc w:val="both"/>
        <w:rPr>
          <w:rFonts w:ascii="Comic Sans MS" w:eastAsia="Comic Sans MS" w:hAnsi="Comic Sans MS" w:cs="Comic Sans MS"/>
          <w:sz w:val="16"/>
          <w:szCs w:val="16"/>
        </w:rPr>
      </w:pPr>
    </w:p>
    <w:p w14:paraId="5D1F6FD6" w14:textId="77777777" w:rsidR="008B06D7" w:rsidRPr="00B5675F" w:rsidRDefault="008B06D7">
      <w:pPr>
        <w:ind w:right="282"/>
        <w:jc w:val="both"/>
        <w:rPr>
          <w:rFonts w:ascii="Comic Sans MS" w:eastAsia="Comic Sans MS" w:hAnsi="Comic Sans MS" w:cs="Comic Sans MS"/>
          <w:sz w:val="16"/>
          <w:szCs w:val="16"/>
        </w:rPr>
      </w:pPr>
    </w:p>
    <w:p w14:paraId="128572E1" w14:textId="10D3A776" w:rsidR="007562D0" w:rsidRPr="00B5675F" w:rsidRDefault="00C21BE0">
      <w:pPr>
        <w:rPr>
          <w:rFonts w:ascii="Comic Sans MS" w:eastAsia="Comic Sans MS" w:hAnsi="Comic Sans MS" w:cs="Comic Sans MS"/>
          <w:sz w:val="16"/>
          <w:szCs w:val="16"/>
          <w:u w:val="single"/>
        </w:rPr>
      </w:pPr>
      <w:r w:rsidRPr="00B5675F">
        <w:rPr>
          <w:rFonts w:ascii="Comic Sans MS" w:eastAsia="Comic Sans MS" w:hAnsi="Comic Sans MS" w:cs="Comic Sans MS"/>
          <w:b/>
          <w:sz w:val="16"/>
          <w:szCs w:val="16"/>
          <w:u w:val="single"/>
        </w:rPr>
        <w:t>Question  : Les équipements sous pression (4 points)</w:t>
      </w:r>
    </w:p>
    <w:p w14:paraId="2494DB5C" w14:textId="081BF9A7" w:rsidR="007562D0" w:rsidRDefault="007562D0">
      <w:pPr>
        <w:rPr>
          <w:rFonts w:ascii="Comic Sans MS" w:eastAsia="Comic Sans MS" w:hAnsi="Comic Sans MS" w:cs="Comic Sans MS"/>
          <w:sz w:val="16"/>
          <w:szCs w:val="16"/>
          <w:u w:val="single"/>
        </w:rPr>
      </w:pPr>
    </w:p>
    <w:p w14:paraId="34453E48" w14:textId="77777777" w:rsidR="008B06D7" w:rsidRPr="00B5675F" w:rsidRDefault="008B06D7">
      <w:pPr>
        <w:rPr>
          <w:rFonts w:ascii="Comic Sans MS" w:eastAsia="Comic Sans MS" w:hAnsi="Comic Sans MS" w:cs="Comic Sans MS"/>
          <w:sz w:val="16"/>
          <w:szCs w:val="16"/>
          <w:u w:val="single"/>
        </w:rPr>
      </w:pPr>
    </w:p>
    <w:p w14:paraId="7DB0260B" w14:textId="77777777" w:rsidR="007562D0" w:rsidRPr="00B5675F" w:rsidRDefault="00C21BE0">
      <w:pPr>
        <w:numPr>
          <w:ilvl w:val="0"/>
          <w:numId w:val="5"/>
        </w:numPr>
        <w:rPr>
          <w:rFonts w:ascii="Comic Sans MS" w:eastAsia="Comic Sans MS" w:hAnsi="Comic Sans MS" w:cs="Comic Sans MS"/>
          <w:sz w:val="16"/>
          <w:szCs w:val="16"/>
        </w:rPr>
      </w:pPr>
      <w:r w:rsidRPr="00B5675F">
        <w:rPr>
          <w:rFonts w:ascii="Comic Sans MS" w:eastAsia="Comic Sans MS" w:hAnsi="Comic Sans MS" w:cs="Comic Sans MS"/>
          <w:sz w:val="16"/>
          <w:szCs w:val="16"/>
        </w:rPr>
        <w:t>En s’informant sur l’arrêté du 20 novembre 2017 relatif aux équipements sous pression, le président de votre club vous questionne sur l’inspection périodique et la requalification pour les bouteilles utilisées en plongée subaquatique. Il souhaite connaître la différence entre les deux systèmes, leurs périodicités et leurs conditions de réalisation ? (2 points)</w:t>
      </w:r>
    </w:p>
    <w:p w14:paraId="69B07B17" w14:textId="77777777" w:rsidR="007562D0" w:rsidRPr="00B5675F" w:rsidRDefault="00C21BE0">
      <w:pPr>
        <w:numPr>
          <w:ilvl w:val="0"/>
          <w:numId w:val="7"/>
        </w:numPr>
        <w:pBdr>
          <w:top w:val="nil"/>
          <w:left w:val="nil"/>
          <w:bottom w:val="nil"/>
          <w:right w:val="nil"/>
          <w:between w:val="nil"/>
        </w:pBdr>
        <w:ind w:hanging="152"/>
        <w:rPr>
          <w:color w:val="000000"/>
          <w:sz w:val="16"/>
          <w:szCs w:val="16"/>
        </w:rPr>
      </w:pPr>
      <w:r w:rsidRPr="00B5675F">
        <w:rPr>
          <w:rFonts w:ascii="Comic Sans MS" w:eastAsia="Comic Sans MS" w:hAnsi="Comic Sans MS" w:cs="Comic Sans MS"/>
          <w:i/>
          <w:color w:val="0000FF"/>
          <w:sz w:val="16"/>
          <w:szCs w:val="16"/>
        </w:rPr>
        <w:t xml:space="preserve">L’inspection périodique (Article 15 de </w:t>
      </w:r>
      <w:r w:rsidRPr="00B5675F">
        <w:rPr>
          <w:rFonts w:ascii="Comic Sans MS" w:eastAsia="Comic Sans MS" w:hAnsi="Comic Sans MS" w:cs="Comic Sans MS"/>
          <w:b/>
          <w:i/>
          <w:color w:val="0000FF"/>
          <w:sz w:val="16"/>
          <w:szCs w:val="16"/>
        </w:rPr>
        <w:t xml:space="preserve">l’arrêté du 20 novembre 2017) </w:t>
      </w:r>
      <w:r w:rsidRPr="00B5675F">
        <w:rPr>
          <w:rFonts w:ascii="Comic Sans MS" w:eastAsia="Comic Sans MS" w:hAnsi="Comic Sans MS" w:cs="Comic Sans MS"/>
          <w:i/>
          <w:color w:val="0000FF"/>
          <w:sz w:val="16"/>
          <w:szCs w:val="16"/>
        </w:rPr>
        <w:t>est une inspection visuelle. Elle a lieu aussi souvent que nécessaire.</w:t>
      </w:r>
      <w:r w:rsidRPr="00B5675F">
        <w:rPr>
          <w:rFonts w:ascii="Comic Sans MS" w:eastAsia="Comic Sans MS" w:hAnsi="Comic Sans MS" w:cs="Comic Sans MS"/>
          <w:i/>
          <w:color w:val="000000"/>
          <w:sz w:val="16"/>
          <w:szCs w:val="16"/>
        </w:rPr>
        <w:t xml:space="preserve"> </w:t>
      </w:r>
      <w:r w:rsidRPr="00B5675F">
        <w:rPr>
          <w:rFonts w:ascii="Comic Sans MS" w:eastAsia="Comic Sans MS" w:hAnsi="Comic Sans MS" w:cs="Comic Sans MS"/>
          <w:i/>
          <w:color w:val="0000FF"/>
          <w:sz w:val="16"/>
          <w:szCs w:val="16"/>
        </w:rPr>
        <w:t>Les périodes maximales sont comptées à partir de la date de la mise en service ou de la précédente inspection périodique ou requalification périodique.</w:t>
      </w:r>
      <w:r w:rsidRPr="00B5675F">
        <w:rPr>
          <w:rFonts w:ascii="Comic Sans MS" w:eastAsia="Comic Sans MS" w:hAnsi="Comic Sans MS" w:cs="Comic Sans MS"/>
          <w:i/>
          <w:color w:val="0000FF"/>
          <w:sz w:val="16"/>
          <w:szCs w:val="16"/>
        </w:rPr>
        <w:br/>
        <w:t>La période maximale est fixée au maximum à 1 an pour les bouteilles pour appareils respiratoires utilisées pour la plongée subaquatique.</w:t>
      </w:r>
      <w:r w:rsidRPr="00B5675F">
        <w:rPr>
          <w:rFonts w:ascii="Comic Sans MS" w:eastAsia="Comic Sans MS" w:hAnsi="Comic Sans MS" w:cs="Comic Sans MS"/>
          <w:i/>
          <w:color w:val="000000"/>
          <w:sz w:val="16"/>
          <w:szCs w:val="16"/>
        </w:rPr>
        <w:t xml:space="preserve"> </w:t>
      </w:r>
      <w:r w:rsidRPr="00B5675F">
        <w:rPr>
          <w:rFonts w:ascii="Comic Sans MS" w:eastAsia="Comic Sans MS" w:hAnsi="Comic Sans MS" w:cs="Comic Sans MS"/>
          <w:i/>
          <w:color w:val="0000FF"/>
          <w:sz w:val="16"/>
          <w:szCs w:val="16"/>
        </w:rPr>
        <w:t>Un TIV procède à une inspection visuelle en respectant le cahier des charges. (1 point)</w:t>
      </w:r>
    </w:p>
    <w:p w14:paraId="326F0E61" w14:textId="77777777" w:rsidR="007562D0" w:rsidRPr="00B5675F" w:rsidRDefault="00C21BE0">
      <w:pPr>
        <w:numPr>
          <w:ilvl w:val="0"/>
          <w:numId w:val="7"/>
        </w:numPr>
        <w:pBdr>
          <w:top w:val="none" w:sz="0" w:space="0" w:color="000000"/>
          <w:left w:val="none" w:sz="0" w:space="0" w:color="000000"/>
          <w:bottom w:val="none" w:sz="0" w:space="0" w:color="000000"/>
          <w:right w:val="none" w:sz="0" w:space="0" w:color="000000"/>
          <w:between w:val="nil"/>
        </w:pBdr>
        <w:ind w:hanging="152"/>
        <w:rPr>
          <w:color w:val="000000"/>
          <w:sz w:val="16"/>
          <w:szCs w:val="16"/>
        </w:rPr>
      </w:pPr>
      <w:r w:rsidRPr="00B5675F">
        <w:rPr>
          <w:rFonts w:ascii="Comic Sans MS" w:eastAsia="Comic Sans MS" w:hAnsi="Comic Sans MS" w:cs="Comic Sans MS"/>
          <w:i/>
          <w:color w:val="0000FF"/>
          <w:sz w:val="16"/>
          <w:szCs w:val="16"/>
        </w:rPr>
        <w:t xml:space="preserve">Requalification (Article 18 de l’arrêté du 20 novembre 2017) </w:t>
      </w:r>
      <w:r w:rsidRPr="00B5675F">
        <w:rPr>
          <w:rFonts w:ascii="Comic Sans MS" w:eastAsia="Comic Sans MS" w:hAnsi="Comic Sans MS" w:cs="Comic Sans MS"/>
          <w:i/>
          <w:color w:val="0000FF"/>
          <w:sz w:val="16"/>
          <w:szCs w:val="16"/>
        </w:rPr>
        <w:br/>
        <w:t>L’échéance maximale des requalifications périodiques est fixée à partir de la date de mise en service ou de la dernière requalification périodique :</w:t>
      </w:r>
    </w:p>
    <w:p w14:paraId="69875DBA" w14:textId="77777777" w:rsidR="007562D0" w:rsidRPr="00B5675F" w:rsidRDefault="00C21BE0">
      <w:pPr>
        <w:numPr>
          <w:ilvl w:val="1"/>
          <w:numId w:val="7"/>
        </w:numPr>
        <w:pBdr>
          <w:top w:val="none" w:sz="0" w:space="0" w:color="000000"/>
          <w:left w:val="none" w:sz="0" w:space="0" w:color="000000"/>
          <w:bottom w:val="none" w:sz="0" w:space="0" w:color="000000"/>
          <w:right w:val="none" w:sz="0" w:space="0" w:color="000000"/>
          <w:between w:val="nil"/>
        </w:pBdr>
        <w:ind w:left="993" w:hanging="152"/>
        <w:rPr>
          <w:sz w:val="16"/>
          <w:szCs w:val="16"/>
        </w:rPr>
      </w:pPr>
      <w:r w:rsidRPr="00B5675F">
        <w:rPr>
          <w:rFonts w:ascii="Comic Sans MS" w:eastAsia="Comic Sans MS" w:hAnsi="Comic Sans MS" w:cs="Comic Sans MS"/>
          <w:i/>
          <w:color w:val="0000FF"/>
          <w:sz w:val="16"/>
          <w:szCs w:val="16"/>
        </w:rPr>
        <w:t>deux ans pour les bouteilles pour appareils respiratoires utilisées pour la plongée subaquatique (non inspecté visuellement tous les ans) ;</w:t>
      </w:r>
    </w:p>
    <w:p w14:paraId="09239525" w14:textId="77777777" w:rsidR="007562D0" w:rsidRPr="00B5675F" w:rsidRDefault="00C21BE0">
      <w:pPr>
        <w:numPr>
          <w:ilvl w:val="1"/>
          <w:numId w:val="7"/>
        </w:numPr>
        <w:pBdr>
          <w:top w:val="none" w:sz="0" w:space="0" w:color="000000"/>
          <w:left w:val="none" w:sz="0" w:space="0" w:color="000000"/>
          <w:bottom w:val="none" w:sz="0" w:space="0" w:color="000000"/>
          <w:right w:val="none" w:sz="0" w:space="0" w:color="000000"/>
          <w:between w:val="nil"/>
        </w:pBdr>
        <w:ind w:left="993" w:hanging="152"/>
        <w:rPr>
          <w:sz w:val="16"/>
          <w:szCs w:val="16"/>
        </w:rPr>
      </w:pPr>
      <w:r w:rsidRPr="00B5675F">
        <w:rPr>
          <w:rFonts w:ascii="Comic Sans MS" w:eastAsia="Comic Sans MS" w:hAnsi="Comic Sans MS" w:cs="Comic Sans MS"/>
          <w:i/>
          <w:color w:val="0000FF"/>
          <w:sz w:val="16"/>
          <w:szCs w:val="16"/>
        </w:rPr>
        <w:t>six ans pour les bouteilles de plongée dont l’inspection périodique a été effectuée au moins annuellement.</w:t>
      </w:r>
    </w:p>
    <w:p w14:paraId="351D677C" w14:textId="77777777" w:rsidR="007562D0" w:rsidRPr="00B5675F" w:rsidRDefault="00C21BE0">
      <w:pPr>
        <w:numPr>
          <w:ilvl w:val="0"/>
          <w:numId w:val="7"/>
        </w:numPr>
        <w:pBdr>
          <w:top w:val="nil"/>
          <w:left w:val="nil"/>
          <w:bottom w:val="nil"/>
          <w:right w:val="nil"/>
          <w:between w:val="nil"/>
        </w:pBdr>
        <w:ind w:hanging="152"/>
        <w:rPr>
          <w:color w:val="000000"/>
          <w:sz w:val="16"/>
          <w:szCs w:val="16"/>
        </w:rPr>
      </w:pPr>
      <w:r w:rsidRPr="00B5675F">
        <w:rPr>
          <w:rFonts w:ascii="Comic Sans MS" w:eastAsia="Comic Sans MS" w:hAnsi="Comic Sans MS" w:cs="Comic Sans MS"/>
          <w:i/>
          <w:color w:val="0000FF"/>
          <w:sz w:val="16"/>
          <w:szCs w:val="16"/>
        </w:rPr>
        <w:t>Un organisme habilité par la DREAL procède à une inspection ; une épreuve hydraulique ; la vérification des filetages. (1 point)</w:t>
      </w:r>
    </w:p>
    <w:p w14:paraId="4417DEFB" w14:textId="77777777" w:rsidR="007562D0" w:rsidRPr="00B5675F" w:rsidRDefault="007562D0">
      <w:pPr>
        <w:pBdr>
          <w:top w:val="nil"/>
          <w:left w:val="nil"/>
          <w:bottom w:val="nil"/>
          <w:right w:val="nil"/>
          <w:between w:val="nil"/>
        </w:pBdr>
        <w:rPr>
          <w:rFonts w:ascii="Comic Sans MS" w:eastAsia="Comic Sans MS" w:hAnsi="Comic Sans MS" w:cs="Comic Sans MS"/>
          <w:color w:val="0070C0"/>
          <w:sz w:val="16"/>
          <w:szCs w:val="16"/>
        </w:rPr>
      </w:pPr>
    </w:p>
    <w:p w14:paraId="62D22257" w14:textId="77777777" w:rsidR="007562D0" w:rsidRPr="00B5675F" w:rsidRDefault="00C21BE0">
      <w:pPr>
        <w:numPr>
          <w:ilvl w:val="0"/>
          <w:numId w:val="5"/>
        </w:numPr>
        <w:ind w:right="282"/>
        <w:rPr>
          <w:rFonts w:ascii="Comic Sans MS" w:eastAsia="Comic Sans MS" w:hAnsi="Comic Sans MS" w:cs="Comic Sans MS"/>
          <w:sz w:val="16"/>
          <w:szCs w:val="16"/>
        </w:rPr>
      </w:pPr>
      <w:r w:rsidRPr="00B5675F">
        <w:rPr>
          <w:rFonts w:ascii="Comic Sans MS" w:eastAsia="Comic Sans MS" w:hAnsi="Comic Sans MS" w:cs="Comic Sans MS"/>
          <w:sz w:val="16"/>
          <w:szCs w:val="16"/>
        </w:rPr>
        <w:t xml:space="preserve">Suite à l’installation d’un tampon de 50 litres / 350 bar dans le local compresseur, le président du club vous demande s’il doit procéder à des formalités administratives, si oui, </w:t>
      </w:r>
      <w:proofErr w:type="gramStart"/>
      <w:r w:rsidRPr="00B5675F">
        <w:rPr>
          <w:rFonts w:ascii="Comic Sans MS" w:eastAsia="Comic Sans MS" w:hAnsi="Comic Sans MS" w:cs="Comic Sans MS"/>
          <w:sz w:val="16"/>
          <w:szCs w:val="16"/>
        </w:rPr>
        <w:t>justifiez lui</w:t>
      </w:r>
      <w:proofErr w:type="gramEnd"/>
      <w:r w:rsidRPr="00B5675F">
        <w:rPr>
          <w:rFonts w:ascii="Comic Sans MS" w:eastAsia="Comic Sans MS" w:hAnsi="Comic Sans MS" w:cs="Comic Sans MS"/>
          <w:sz w:val="16"/>
          <w:szCs w:val="16"/>
        </w:rPr>
        <w:t xml:space="preserve"> et décrivez ces formalités ? (2 points)</w:t>
      </w:r>
      <w:bookmarkStart w:id="0" w:name="gjdgxs" w:colFirst="0" w:colLast="0"/>
      <w:bookmarkEnd w:id="0"/>
    </w:p>
    <w:p w14:paraId="327C57AC" w14:textId="77777777" w:rsidR="007562D0" w:rsidRPr="00B5675F" w:rsidRDefault="00C21BE0">
      <w:pPr>
        <w:numPr>
          <w:ilvl w:val="0"/>
          <w:numId w:val="9"/>
        </w:numPr>
        <w:ind w:hanging="152"/>
        <w:rPr>
          <w:sz w:val="16"/>
          <w:szCs w:val="16"/>
        </w:rPr>
      </w:pPr>
      <w:r w:rsidRPr="00B5675F">
        <w:rPr>
          <w:rFonts w:ascii="Comic Sans MS" w:eastAsia="Comic Sans MS" w:hAnsi="Comic Sans MS" w:cs="Comic Sans MS"/>
          <w:i/>
          <w:color w:val="0000FF"/>
          <w:sz w:val="16"/>
          <w:szCs w:val="16"/>
        </w:rPr>
        <w:t>Oui (Article 7 de l’arrêté du 20 novembre 2017) (0,5 point)</w:t>
      </w:r>
    </w:p>
    <w:p w14:paraId="673C22D2" w14:textId="77777777" w:rsidR="007562D0" w:rsidRPr="00B5675F" w:rsidRDefault="00C21BE0">
      <w:pPr>
        <w:pBdr>
          <w:top w:val="nil"/>
          <w:left w:val="nil"/>
          <w:bottom w:val="nil"/>
          <w:right w:val="nil"/>
          <w:between w:val="nil"/>
        </w:pBdr>
        <w:ind w:left="720" w:right="282"/>
        <w:rPr>
          <w:rFonts w:ascii="Comic Sans MS" w:eastAsia="Comic Sans MS" w:hAnsi="Comic Sans MS" w:cs="Comic Sans MS"/>
          <w:color w:val="000000"/>
          <w:sz w:val="16"/>
          <w:szCs w:val="16"/>
        </w:rPr>
      </w:pPr>
      <w:r w:rsidRPr="00B5675F">
        <w:rPr>
          <w:rFonts w:ascii="Comic Sans MS" w:eastAsia="Comic Sans MS" w:hAnsi="Comic Sans MS" w:cs="Comic Sans MS"/>
          <w:i/>
          <w:color w:val="0000FF"/>
          <w:sz w:val="16"/>
          <w:szCs w:val="16"/>
        </w:rPr>
        <w:t xml:space="preserve">Sont soumis à la déclaration et au contrôle de mise en service les récipients sous pression de gaz dont la pression maximale admissible PS est supérieure à 4 bar et dont le produit pression maximale admissible par le volume est supérieur à 10 000 </w:t>
      </w:r>
      <w:proofErr w:type="spellStart"/>
      <w:r w:rsidRPr="00B5675F">
        <w:rPr>
          <w:rFonts w:ascii="Comic Sans MS" w:eastAsia="Comic Sans MS" w:hAnsi="Comic Sans MS" w:cs="Comic Sans MS"/>
          <w:i/>
          <w:color w:val="0000FF"/>
          <w:sz w:val="16"/>
          <w:szCs w:val="16"/>
        </w:rPr>
        <w:t>bar.l</w:t>
      </w:r>
      <w:proofErr w:type="spellEnd"/>
      <w:r w:rsidRPr="00B5675F">
        <w:rPr>
          <w:rFonts w:ascii="Comic Sans MS" w:eastAsia="Comic Sans MS" w:hAnsi="Comic Sans MS" w:cs="Comic Sans MS"/>
          <w:i/>
          <w:color w:val="0000FF"/>
          <w:sz w:val="16"/>
          <w:szCs w:val="16"/>
        </w:rPr>
        <w:t> ; ce qui est le cas ici : 350 × 50 = 17 500 (0,5 point)</w:t>
      </w:r>
    </w:p>
    <w:p w14:paraId="0910BB1E" w14:textId="77777777" w:rsidR="007562D0" w:rsidRPr="00B5675F" w:rsidRDefault="00C21BE0">
      <w:pPr>
        <w:numPr>
          <w:ilvl w:val="0"/>
          <w:numId w:val="9"/>
        </w:numPr>
        <w:pBdr>
          <w:top w:val="nil"/>
          <w:left w:val="nil"/>
          <w:bottom w:val="nil"/>
          <w:right w:val="nil"/>
          <w:between w:val="nil"/>
        </w:pBdr>
        <w:ind w:right="282" w:hanging="152"/>
        <w:rPr>
          <w:color w:val="000000"/>
          <w:sz w:val="16"/>
          <w:szCs w:val="16"/>
        </w:rPr>
      </w:pPr>
      <w:r w:rsidRPr="00B5675F">
        <w:rPr>
          <w:rFonts w:ascii="Comic Sans MS" w:eastAsia="Comic Sans MS" w:hAnsi="Comic Sans MS" w:cs="Comic Sans MS"/>
          <w:i/>
          <w:color w:val="0000FF"/>
          <w:sz w:val="16"/>
          <w:szCs w:val="16"/>
        </w:rPr>
        <w:t>Le contrôle de mise en service (CMS). (0,5 point)</w:t>
      </w:r>
    </w:p>
    <w:p w14:paraId="61E725CB" w14:textId="77777777" w:rsidR="007562D0" w:rsidRPr="00B5675F" w:rsidRDefault="00C21BE0">
      <w:pPr>
        <w:pBdr>
          <w:top w:val="nil"/>
          <w:left w:val="nil"/>
          <w:bottom w:val="nil"/>
          <w:right w:val="nil"/>
          <w:between w:val="nil"/>
        </w:pBdr>
        <w:ind w:left="720" w:right="282"/>
        <w:rPr>
          <w:rFonts w:ascii="Comic Sans MS" w:eastAsia="Comic Sans MS" w:hAnsi="Comic Sans MS" w:cs="Comic Sans MS"/>
          <w:color w:val="000000"/>
          <w:sz w:val="16"/>
          <w:szCs w:val="16"/>
        </w:rPr>
      </w:pPr>
      <w:r w:rsidRPr="00B5675F">
        <w:rPr>
          <w:rFonts w:ascii="Comic Sans MS" w:eastAsia="Comic Sans MS" w:hAnsi="Comic Sans MS" w:cs="Comic Sans MS"/>
          <w:i/>
          <w:color w:val="0000FF"/>
          <w:sz w:val="16"/>
          <w:szCs w:val="16"/>
        </w:rPr>
        <w:t>Son objectif est de vérifier :</w:t>
      </w:r>
    </w:p>
    <w:p w14:paraId="7BA1C9EA" w14:textId="77777777" w:rsidR="007562D0" w:rsidRPr="00B5675F" w:rsidRDefault="00C21BE0">
      <w:pPr>
        <w:pBdr>
          <w:top w:val="nil"/>
          <w:left w:val="nil"/>
          <w:bottom w:val="nil"/>
          <w:right w:val="nil"/>
          <w:between w:val="nil"/>
        </w:pBdr>
        <w:ind w:left="851" w:right="282"/>
        <w:rPr>
          <w:rFonts w:ascii="Comic Sans MS" w:eastAsia="Comic Sans MS" w:hAnsi="Comic Sans MS" w:cs="Comic Sans MS"/>
          <w:color w:val="000000"/>
          <w:sz w:val="16"/>
          <w:szCs w:val="16"/>
        </w:rPr>
      </w:pPr>
      <w:r w:rsidRPr="00B5675F">
        <w:rPr>
          <w:rFonts w:ascii="Comic Sans MS" w:eastAsia="Comic Sans MS" w:hAnsi="Comic Sans MS" w:cs="Comic Sans MS"/>
          <w:i/>
          <w:color w:val="0000FF"/>
          <w:sz w:val="16"/>
          <w:szCs w:val="16"/>
        </w:rPr>
        <w:t>– le respect des conditions d’installation et d’exploitation</w:t>
      </w:r>
    </w:p>
    <w:p w14:paraId="08CC08CD" w14:textId="77777777" w:rsidR="007562D0" w:rsidRPr="00B5675F" w:rsidRDefault="00C21BE0">
      <w:pPr>
        <w:pBdr>
          <w:top w:val="nil"/>
          <w:left w:val="nil"/>
          <w:bottom w:val="nil"/>
          <w:right w:val="nil"/>
          <w:between w:val="nil"/>
        </w:pBdr>
        <w:ind w:left="851" w:right="282"/>
        <w:rPr>
          <w:rFonts w:ascii="Comic Sans MS" w:eastAsia="Comic Sans MS" w:hAnsi="Comic Sans MS" w:cs="Comic Sans MS"/>
          <w:color w:val="000000"/>
          <w:sz w:val="16"/>
          <w:szCs w:val="16"/>
        </w:rPr>
      </w:pPr>
      <w:r w:rsidRPr="00B5675F">
        <w:rPr>
          <w:rFonts w:ascii="Comic Sans MS" w:eastAsia="Comic Sans MS" w:hAnsi="Comic Sans MS" w:cs="Comic Sans MS"/>
          <w:i/>
          <w:color w:val="0000FF"/>
          <w:sz w:val="16"/>
          <w:szCs w:val="16"/>
        </w:rPr>
        <w:t>– l’absence d’endommagement de l’équipement (transport)</w:t>
      </w:r>
    </w:p>
    <w:p w14:paraId="167A5E71" w14:textId="77777777" w:rsidR="007562D0" w:rsidRPr="00B5675F" w:rsidRDefault="00C21BE0">
      <w:pPr>
        <w:pBdr>
          <w:top w:val="nil"/>
          <w:left w:val="nil"/>
          <w:bottom w:val="nil"/>
          <w:right w:val="nil"/>
          <w:between w:val="nil"/>
        </w:pBdr>
        <w:ind w:left="851" w:right="282"/>
        <w:rPr>
          <w:rFonts w:ascii="Comic Sans MS" w:eastAsia="Comic Sans MS" w:hAnsi="Comic Sans MS" w:cs="Comic Sans MS"/>
          <w:color w:val="000000"/>
          <w:sz w:val="16"/>
          <w:szCs w:val="16"/>
        </w:rPr>
      </w:pPr>
      <w:r w:rsidRPr="00B5675F">
        <w:rPr>
          <w:rFonts w:ascii="Comic Sans MS" w:eastAsia="Comic Sans MS" w:hAnsi="Comic Sans MS" w:cs="Comic Sans MS"/>
          <w:i/>
          <w:color w:val="0000FF"/>
          <w:sz w:val="16"/>
          <w:szCs w:val="16"/>
        </w:rPr>
        <w:t>– la présence et la capacité à fonctionner des accessoires de sécurité prévus (soupapes...)</w:t>
      </w:r>
    </w:p>
    <w:p w14:paraId="6F85D0D7" w14:textId="77777777" w:rsidR="007562D0" w:rsidRPr="00B5675F" w:rsidRDefault="00C21BE0">
      <w:pPr>
        <w:pBdr>
          <w:top w:val="nil"/>
          <w:left w:val="nil"/>
          <w:bottom w:val="nil"/>
          <w:right w:val="nil"/>
          <w:between w:val="nil"/>
        </w:pBdr>
        <w:ind w:left="851" w:right="282"/>
        <w:rPr>
          <w:rFonts w:ascii="Comic Sans MS" w:eastAsia="Comic Sans MS" w:hAnsi="Comic Sans MS" w:cs="Comic Sans MS"/>
          <w:color w:val="000000"/>
          <w:sz w:val="16"/>
          <w:szCs w:val="16"/>
        </w:rPr>
      </w:pPr>
      <w:r w:rsidRPr="00B5675F">
        <w:rPr>
          <w:rFonts w:ascii="Comic Sans MS" w:eastAsia="Comic Sans MS" w:hAnsi="Comic Sans MS" w:cs="Comic Sans MS"/>
          <w:i/>
          <w:color w:val="0000FF"/>
          <w:sz w:val="16"/>
          <w:szCs w:val="16"/>
        </w:rPr>
        <w:t>– la présence des dossiers et documents requis pour son exploitation (registre, notice, …).</w:t>
      </w:r>
    </w:p>
    <w:p w14:paraId="7BA9C65B" w14:textId="77777777" w:rsidR="007562D0" w:rsidRPr="00B5675F" w:rsidRDefault="00C21BE0">
      <w:pPr>
        <w:pBdr>
          <w:top w:val="nil"/>
          <w:left w:val="nil"/>
          <w:bottom w:val="nil"/>
          <w:right w:val="nil"/>
          <w:between w:val="nil"/>
        </w:pBdr>
        <w:ind w:left="851" w:right="282"/>
        <w:rPr>
          <w:rFonts w:ascii="Comic Sans MS" w:eastAsia="Comic Sans MS" w:hAnsi="Comic Sans MS" w:cs="Comic Sans MS"/>
          <w:color w:val="000000"/>
          <w:sz w:val="16"/>
          <w:szCs w:val="16"/>
        </w:rPr>
      </w:pPr>
      <w:r w:rsidRPr="00B5675F">
        <w:rPr>
          <w:rFonts w:ascii="Comic Sans MS" w:eastAsia="Comic Sans MS" w:hAnsi="Comic Sans MS" w:cs="Comic Sans MS"/>
          <w:i/>
          <w:color w:val="0000FF"/>
          <w:sz w:val="16"/>
          <w:szCs w:val="16"/>
        </w:rPr>
        <w:t>Le CMS peut être réalisé par une personne compétente (exploitant, société extérieure) ; une attestation doit être établie et ce contrôle doit être consigné dans le registre d’exploitation.</w:t>
      </w:r>
    </w:p>
    <w:p w14:paraId="3B2B93CF" w14:textId="77777777" w:rsidR="007562D0" w:rsidRPr="00B5675F" w:rsidRDefault="00C21BE0">
      <w:pPr>
        <w:numPr>
          <w:ilvl w:val="0"/>
          <w:numId w:val="12"/>
        </w:numPr>
        <w:pBdr>
          <w:top w:val="nil"/>
          <w:left w:val="nil"/>
          <w:bottom w:val="nil"/>
          <w:right w:val="nil"/>
          <w:between w:val="nil"/>
        </w:pBdr>
        <w:ind w:hanging="152"/>
        <w:rPr>
          <w:color w:val="000000"/>
          <w:sz w:val="16"/>
          <w:szCs w:val="16"/>
        </w:rPr>
      </w:pPr>
      <w:r w:rsidRPr="00B5675F">
        <w:rPr>
          <w:rFonts w:ascii="Comic Sans MS" w:eastAsia="Comic Sans MS" w:hAnsi="Comic Sans MS" w:cs="Comic Sans MS"/>
          <w:i/>
          <w:color w:val="0000FF"/>
          <w:sz w:val="16"/>
          <w:szCs w:val="16"/>
        </w:rPr>
        <w:t xml:space="preserve">La déclaration de mise en service (DMS) est </w:t>
      </w:r>
      <w:proofErr w:type="spellStart"/>
      <w:proofErr w:type="gramStart"/>
      <w:r w:rsidRPr="00B5675F">
        <w:rPr>
          <w:rFonts w:ascii="Comic Sans MS" w:eastAsia="Comic Sans MS" w:hAnsi="Comic Sans MS" w:cs="Comic Sans MS"/>
          <w:i/>
          <w:color w:val="0000FF"/>
          <w:sz w:val="16"/>
          <w:szCs w:val="16"/>
        </w:rPr>
        <w:t>a</w:t>
      </w:r>
      <w:proofErr w:type="spellEnd"/>
      <w:proofErr w:type="gramEnd"/>
      <w:r w:rsidRPr="00B5675F">
        <w:rPr>
          <w:rFonts w:ascii="Comic Sans MS" w:eastAsia="Comic Sans MS" w:hAnsi="Comic Sans MS" w:cs="Comic Sans MS"/>
          <w:i/>
          <w:color w:val="0000FF"/>
          <w:sz w:val="16"/>
          <w:szCs w:val="16"/>
        </w:rPr>
        <w:t xml:space="preserve"> effectuer auprès de la DREAL (</w:t>
      </w:r>
      <w:proofErr w:type="spellStart"/>
      <w:r w:rsidRPr="00B5675F">
        <w:rPr>
          <w:rFonts w:ascii="Comic Sans MS" w:eastAsia="Comic Sans MS" w:hAnsi="Comic Sans MS" w:cs="Comic Sans MS"/>
          <w:i/>
          <w:color w:val="0000FF"/>
          <w:sz w:val="16"/>
          <w:szCs w:val="16"/>
        </w:rPr>
        <w:t>télédéclaration</w:t>
      </w:r>
      <w:proofErr w:type="spellEnd"/>
      <w:r w:rsidRPr="00B5675F">
        <w:rPr>
          <w:rFonts w:ascii="Comic Sans MS" w:eastAsia="Comic Sans MS" w:hAnsi="Comic Sans MS" w:cs="Comic Sans MS"/>
          <w:i/>
          <w:color w:val="0000FF"/>
          <w:sz w:val="16"/>
          <w:szCs w:val="16"/>
        </w:rPr>
        <w:t xml:space="preserve"> : </w:t>
      </w:r>
      <w:hyperlink r:id="rId7">
        <w:r w:rsidRPr="00B5675F">
          <w:rPr>
            <w:rFonts w:ascii="Comic Sans MS" w:eastAsia="Comic Sans MS" w:hAnsi="Comic Sans MS" w:cs="Comic Sans MS"/>
            <w:color w:val="0000FF"/>
            <w:sz w:val="16"/>
            <w:szCs w:val="16"/>
          </w:rPr>
          <w:t>https://lune.application.developpement-durable.gouv.fr/externe/Accueil.do</w:t>
        </w:r>
      </w:hyperlink>
      <w:r w:rsidRPr="00B5675F">
        <w:rPr>
          <w:rFonts w:ascii="Comic Sans MS" w:eastAsia="Comic Sans MS" w:hAnsi="Comic Sans MS" w:cs="Comic Sans MS"/>
          <w:color w:val="0000FF"/>
          <w:sz w:val="16"/>
          <w:szCs w:val="16"/>
        </w:rPr>
        <w:t>)</w:t>
      </w:r>
      <w:r w:rsidRPr="00B5675F">
        <w:rPr>
          <w:rFonts w:ascii="Comic Sans MS" w:eastAsia="Comic Sans MS" w:hAnsi="Comic Sans MS" w:cs="Comic Sans MS"/>
          <w:i/>
          <w:color w:val="0000FF"/>
          <w:sz w:val="16"/>
          <w:szCs w:val="16"/>
        </w:rPr>
        <w:t xml:space="preserve"> </w:t>
      </w:r>
    </w:p>
    <w:p w14:paraId="11D244B1" w14:textId="77777777" w:rsidR="007562D0" w:rsidRPr="00B5675F" w:rsidRDefault="00C21BE0">
      <w:pPr>
        <w:pBdr>
          <w:top w:val="nil"/>
          <w:left w:val="nil"/>
          <w:bottom w:val="nil"/>
          <w:right w:val="nil"/>
          <w:between w:val="nil"/>
        </w:pBdr>
        <w:ind w:left="709"/>
        <w:rPr>
          <w:rFonts w:ascii="Comic Sans MS" w:eastAsia="Comic Sans MS" w:hAnsi="Comic Sans MS" w:cs="Comic Sans MS"/>
          <w:color w:val="0000FF"/>
          <w:sz w:val="16"/>
          <w:szCs w:val="16"/>
        </w:rPr>
      </w:pPr>
      <w:r w:rsidRPr="00B5675F">
        <w:rPr>
          <w:rFonts w:ascii="Comic Sans MS" w:eastAsia="Comic Sans MS" w:hAnsi="Comic Sans MS" w:cs="Comic Sans MS"/>
          <w:i/>
          <w:color w:val="0000FF"/>
          <w:sz w:val="16"/>
          <w:szCs w:val="16"/>
        </w:rPr>
        <w:t>Elle comporte :</w:t>
      </w:r>
    </w:p>
    <w:p w14:paraId="1160F927" w14:textId="37D1D66E" w:rsidR="007562D0" w:rsidRPr="008B06D7" w:rsidRDefault="00C21BE0" w:rsidP="008B06D7">
      <w:pPr>
        <w:pBdr>
          <w:top w:val="nil"/>
          <w:left w:val="nil"/>
          <w:bottom w:val="nil"/>
          <w:right w:val="nil"/>
          <w:between w:val="nil"/>
        </w:pBdr>
        <w:ind w:left="851"/>
        <w:rPr>
          <w:rFonts w:ascii="Comic Sans MS" w:eastAsia="Comic Sans MS" w:hAnsi="Comic Sans MS" w:cs="Comic Sans MS"/>
          <w:color w:val="000000"/>
          <w:sz w:val="16"/>
          <w:szCs w:val="16"/>
        </w:rPr>
      </w:pPr>
      <w:r w:rsidRPr="00B5675F">
        <w:rPr>
          <w:rFonts w:ascii="Comic Sans MS" w:eastAsia="Comic Sans MS" w:hAnsi="Comic Sans MS" w:cs="Comic Sans MS"/>
          <w:i/>
          <w:color w:val="0000FF"/>
          <w:sz w:val="16"/>
          <w:szCs w:val="16"/>
        </w:rPr>
        <w:t>- les principales caractéristiques de l'équipement ;</w:t>
      </w:r>
      <w:r w:rsidRPr="00B5675F">
        <w:rPr>
          <w:rFonts w:ascii="Comic Sans MS" w:eastAsia="Comic Sans MS" w:hAnsi="Comic Sans MS" w:cs="Comic Sans MS"/>
          <w:i/>
          <w:color w:val="0000FF"/>
          <w:sz w:val="16"/>
          <w:szCs w:val="16"/>
        </w:rPr>
        <w:br/>
        <w:t>- le nom du fabricant et le pays de fabrication ;</w:t>
      </w:r>
      <w:r w:rsidRPr="00B5675F">
        <w:rPr>
          <w:rFonts w:ascii="Comic Sans MS" w:eastAsia="Comic Sans MS" w:hAnsi="Comic Sans MS" w:cs="Comic Sans MS"/>
          <w:i/>
          <w:color w:val="0000FF"/>
          <w:sz w:val="16"/>
          <w:szCs w:val="16"/>
        </w:rPr>
        <w:br/>
        <w:t>- le numéro de l'organisme notifié le cas échéant ;</w:t>
      </w:r>
      <w:r w:rsidRPr="00B5675F">
        <w:rPr>
          <w:rFonts w:ascii="Comic Sans MS" w:eastAsia="Comic Sans MS" w:hAnsi="Comic Sans MS" w:cs="Comic Sans MS"/>
          <w:i/>
          <w:color w:val="0000FF"/>
          <w:sz w:val="16"/>
          <w:szCs w:val="16"/>
        </w:rPr>
        <w:br/>
        <w:t>- la date de mise en service ;</w:t>
      </w:r>
      <w:r w:rsidRPr="00B5675F">
        <w:rPr>
          <w:rFonts w:ascii="Comic Sans MS" w:eastAsia="Comic Sans MS" w:hAnsi="Comic Sans MS" w:cs="Comic Sans MS"/>
          <w:i/>
          <w:color w:val="0000FF"/>
          <w:sz w:val="16"/>
          <w:szCs w:val="16"/>
        </w:rPr>
        <w:br/>
        <w:t>- les coordonnées de l'exploitant ;</w:t>
      </w:r>
      <w:r w:rsidRPr="00B5675F">
        <w:rPr>
          <w:rFonts w:ascii="Comic Sans MS" w:eastAsia="Comic Sans MS" w:hAnsi="Comic Sans MS" w:cs="Comic Sans MS"/>
          <w:i/>
          <w:color w:val="0000FF"/>
          <w:sz w:val="16"/>
          <w:szCs w:val="16"/>
        </w:rPr>
        <w:br/>
        <w:t>- le lieu d'installation ;</w:t>
      </w:r>
      <w:r w:rsidRPr="00B5675F">
        <w:rPr>
          <w:rFonts w:ascii="Comic Sans MS" w:eastAsia="Comic Sans MS" w:hAnsi="Comic Sans MS" w:cs="Comic Sans MS"/>
          <w:i/>
          <w:color w:val="0000FF"/>
          <w:sz w:val="16"/>
          <w:szCs w:val="16"/>
        </w:rPr>
        <w:br/>
        <w:t>- une copie de la déclaration de conformité délivrée par le fabricant pour l’équipement ou, le cas échéant, pour l’ensemble relevant des dispositions de l'article R. 557-9-2 et auquel appartient l'équipement.</w:t>
      </w:r>
      <w:r w:rsidRPr="00B5675F">
        <w:rPr>
          <w:rFonts w:ascii="Comic Sans MS" w:eastAsia="Comic Sans MS" w:hAnsi="Comic Sans MS" w:cs="Comic Sans MS"/>
          <w:i/>
          <w:color w:val="0000FF"/>
          <w:sz w:val="16"/>
          <w:szCs w:val="16"/>
        </w:rPr>
        <w:br/>
        <w:t>L’exploitant reçoit une preuve de dépôt de sa déclaration.(0,5 point)</w:t>
      </w:r>
    </w:p>
    <w:sectPr w:rsidR="007562D0" w:rsidRPr="008B06D7">
      <w:headerReference w:type="even" r:id="rId8"/>
      <w:headerReference w:type="default" r:id="rId9"/>
      <w:footerReference w:type="even" r:id="rId10"/>
      <w:footerReference w:type="default" r:id="rId11"/>
      <w:headerReference w:type="first" r:id="rId12"/>
      <w:footerReference w:type="first" r:id="rId13"/>
      <w:pgSz w:w="11906" w:h="16838"/>
      <w:pgMar w:top="680" w:right="567" w:bottom="907"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EDA50" w14:textId="77777777" w:rsidR="003D60A4" w:rsidRDefault="003D60A4">
      <w:r>
        <w:separator/>
      </w:r>
    </w:p>
  </w:endnote>
  <w:endnote w:type="continuationSeparator" w:id="0">
    <w:p w14:paraId="74151008" w14:textId="77777777" w:rsidR="003D60A4" w:rsidRDefault="003D6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D7CE5" w14:textId="77777777" w:rsidR="007562D0" w:rsidRDefault="007562D0">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68B6C" w14:textId="77777777" w:rsidR="007562D0" w:rsidRDefault="00C21BE0">
    <w:pPr>
      <w:pBdr>
        <w:top w:val="nil"/>
        <w:left w:val="nil"/>
        <w:bottom w:val="nil"/>
        <w:right w:val="nil"/>
        <w:between w:val="nil"/>
      </w:pBdr>
      <w:rPr>
        <w:color w:val="000000"/>
        <w:sz w:val="16"/>
        <w:szCs w:val="16"/>
      </w:rPr>
    </w:pPr>
    <w:r>
      <w:rPr>
        <w:noProof/>
      </w:rPr>
      <mc:AlternateContent>
        <mc:Choice Requires="wpg">
          <w:drawing>
            <wp:anchor distT="0" distB="0" distL="0" distR="0" simplePos="0" relativeHeight="251658240" behindDoc="0" locked="0" layoutInCell="1" hidden="0" allowOverlap="1" wp14:anchorId="1967DD8F" wp14:editId="40AB7C55">
              <wp:simplePos x="0" y="0"/>
              <wp:positionH relativeFrom="column">
                <wp:posOffset>3378200</wp:posOffset>
              </wp:positionH>
              <wp:positionV relativeFrom="paragraph">
                <wp:posOffset>0</wp:posOffset>
              </wp:positionV>
              <wp:extent cx="62865" cy="122555"/>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5319330" y="3723485"/>
                        <a:ext cx="53340" cy="113030"/>
                      </a:xfrm>
                      <a:prstGeom prst="rect">
                        <a:avLst/>
                      </a:prstGeom>
                      <a:solidFill>
                        <a:srgbClr val="FFFFFF"/>
                      </a:solidFill>
                      <a:ln>
                        <a:noFill/>
                      </a:ln>
                    </wps:spPr>
                    <wps:txbx>
                      <w:txbxContent>
                        <w:p w14:paraId="0DCDAA5D" w14:textId="77777777" w:rsidR="007562D0" w:rsidRDefault="00C21BE0">
                          <w:pPr>
                            <w:textDirection w:val="btLr"/>
                          </w:pPr>
                          <w:r>
                            <w:rPr>
                              <w:color w:val="000000"/>
                              <w:sz w:val="16"/>
                            </w:rPr>
                            <w:t xml:space="preserve"> PAGE 1</w:t>
                          </w:r>
                        </w:p>
                        <w:p w14:paraId="260D7154" w14:textId="77777777" w:rsidR="007562D0" w:rsidRDefault="007562D0">
                          <w:pPr>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0" distR="0" hidden="0" layoutInCell="1" locked="0" relativeHeight="0" simplePos="0">
              <wp:simplePos x="0" y="0"/>
              <wp:positionH relativeFrom="column">
                <wp:posOffset>3378200</wp:posOffset>
              </wp:positionH>
              <wp:positionV relativeFrom="paragraph">
                <wp:posOffset>0</wp:posOffset>
              </wp:positionV>
              <wp:extent cx="62865" cy="122555"/>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2865" cy="122555"/>
                      </a:xfrm>
                      <a:prstGeom prst="rect"/>
                      <a:ln/>
                    </pic:spPr>
                  </pic:pic>
                </a:graphicData>
              </a:graphic>
            </wp:anchor>
          </w:drawing>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C06D3" w14:textId="77777777" w:rsidR="00C54FD9" w:rsidRDefault="00C54FD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65F6B" w14:textId="77777777" w:rsidR="003D60A4" w:rsidRDefault="003D60A4">
      <w:r>
        <w:separator/>
      </w:r>
    </w:p>
  </w:footnote>
  <w:footnote w:type="continuationSeparator" w:id="0">
    <w:p w14:paraId="2DB9103C" w14:textId="77777777" w:rsidR="003D60A4" w:rsidRDefault="003D6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15A11" w14:textId="77777777" w:rsidR="007562D0" w:rsidRDefault="007562D0">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F9769" w14:textId="77777777" w:rsidR="007562D0" w:rsidRDefault="007562D0">
    <w:pPr>
      <w:widowControl w:val="0"/>
      <w:pBdr>
        <w:top w:val="nil"/>
        <w:left w:val="nil"/>
        <w:bottom w:val="nil"/>
        <w:right w:val="nil"/>
        <w:between w:val="nil"/>
      </w:pBdr>
      <w:spacing w:line="276" w:lineRule="auto"/>
    </w:pPr>
  </w:p>
  <w:tbl>
    <w:tblPr>
      <w:tblStyle w:val="a"/>
      <w:tblW w:w="9264" w:type="dxa"/>
      <w:tblInd w:w="0" w:type="dxa"/>
      <w:tblLayout w:type="fixed"/>
      <w:tblLook w:val="0000" w:firstRow="0" w:lastRow="0" w:firstColumn="0" w:lastColumn="0" w:noHBand="0" w:noVBand="0"/>
    </w:tblPr>
    <w:tblGrid>
      <w:gridCol w:w="4219"/>
      <w:gridCol w:w="5045"/>
    </w:tblGrid>
    <w:tr w:rsidR="007562D0" w14:paraId="33574F85" w14:textId="77777777">
      <w:tc>
        <w:tcPr>
          <w:tcW w:w="4219" w:type="dxa"/>
        </w:tcPr>
        <w:p w14:paraId="77D09FE3" w14:textId="77777777" w:rsidR="007562D0" w:rsidRDefault="00B55EFB">
          <w:pPr>
            <w:pBdr>
              <w:top w:val="nil"/>
              <w:left w:val="nil"/>
              <w:bottom w:val="nil"/>
              <w:right w:val="nil"/>
              <w:between w:val="nil"/>
            </w:pBdr>
            <w:tabs>
              <w:tab w:val="center" w:pos="4536"/>
              <w:tab w:val="right" w:pos="9072"/>
            </w:tabs>
            <w:rPr>
              <w:rFonts w:ascii="Comic Sans MS" w:eastAsia="Comic Sans MS" w:hAnsi="Comic Sans MS" w:cs="Comic Sans MS"/>
              <w:color w:val="000000"/>
              <w:sz w:val="28"/>
              <w:szCs w:val="28"/>
            </w:rPr>
          </w:pPr>
          <w:r>
            <w:rPr>
              <w:noProof/>
            </w:rPr>
            <w:drawing>
              <wp:inline distT="0" distB="0" distL="0" distR="0" wp14:anchorId="3BE54237" wp14:editId="652A0DFF">
                <wp:extent cx="847725" cy="84772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a:srcRect l="-77" t="-77" r="-76" b="-76"/>
                        <a:stretch>
                          <a:fillRect/>
                        </a:stretch>
                      </pic:blipFill>
                      <pic:spPr>
                        <a:xfrm>
                          <a:off x="0" y="0"/>
                          <a:ext cx="847725" cy="847725"/>
                        </a:xfrm>
                        <a:prstGeom prst="rect">
                          <a:avLst/>
                        </a:prstGeom>
                        <a:ln/>
                      </pic:spPr>
                    </pic:pic>
                  </a:graphicData>
                </a:graphic>
              </wp:inline>
            </w:drawing>
          </w:r>
        </w:p>
      </w:tc>
      <w:tc>
        <w:tcPr>
          <w:tcW w:w="5045" w:type="dxa"/>
        </w:tcPr>
        <w:p w14:paraId="1992B457" w14:textId="77777777" w:rsidR="007562D0" w:rsidRDefault="007562D0">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p>
        <w:p w14:paraId="741DB936" w14:textId="027E5756" w:rsidR="007562D0" w:rsidRDefault="00C21BE0" w:rsidP="00B457E9">
          <w:pPr>
            <w:pBdr>
              <w:top w:val="nil"/>
              <w:left w:val="nil"/>
              <w:bottom w:val="nil"/>
              <w:right w:val="nil"/>
              <w:between w:val="nil"/>
            </w:pBdr>
            <w:tabs>
              <w:tab w:val="center" w:pos="4536"/>
              <w:tab w:val="right" w:pos="9072"/>
            </w:tabs>
            <w:ind w:left="176" w:hanging="176"/>
            <w:jc w:val="center"/>
            <w:rPr>
              <w:color w:val="000000"/>
              <w:sz w:val="16"/>
              <w:szCs w:val="16"/>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14:paraId="37926162" w14:textId="77777777" w:rsidR="007562D0" w:rsidRDefault="007562D0">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CD510" w14:textId="77777777" w:rsidR="00C54FD9" w:rsidRDefault="00C54FD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44267"/>
    <w:multiLevelType w:val="multilevel"/>
    <w:tmpl w:val="70468D10"/>
    <w:lvl w:ilvl="0">
      <w:numFmt w:val="bullet"/>
      <w:lvlText w:val="–"/>
      <w:lvlJc w:val="left"/>
      <w:pPr>
        <w:ind w:left="720" w:hanging="360"/>
      </w:pPr>
      <w:rPr>
        <w:rFonts w:ascii="Comic Sans MS" w:eastAsia="Comic Sans MS" w:hAnsi="Comic Sans MS" w:cs="Comic Sans MS"/>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BDD3E12"/>
    <w:multiLevelType w:val="multilevel"/>
    <w:tmpl w:val="FE26BF4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F8F12D2"/>
    <w:multiLevelType w:val="multilevel"/>
    <w:tmpl w:val="8CD42D7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26614F5"/>
    <w:multiLevelType w:val="multilevel"/>
    <w:tmpl w:val="4596E172"/>
    <w:lvl w:ilvl="0">
      <w:numFmt w:val="bullet"/>
      <w:lvlText w:val="–"/>
      <w:lvlJc w:val="left"/>
      <w:pPr>
        <w:ind w:left="720" w:hanging="360"/>
      </w:pPr>
      <w:rPr>
        <w:rFonts w:ascii="Comic Sans MS" w:eastAsia="Comic Sans MS" w:hAnsi="Comic Sans MS" w:cs="Comic Sans MS"/>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135B3A8A"/>
    <w:multiLevelType w:val="multilevel"/>
    <w:tmpl w:val="E16EF22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 w15:restartNumberingAfterBreak="0">
    <w:nsid w:val="14FE068A"/>
    <w:multiLevelType w:val="multilevel"/>
    <w:tmpl w:val="F2D20584"/>
    <w:lvl w:ilvl="0">
      <w:numFmt w:val="bullet"/>
      <w:lvlText w:val="–"/>
      <w:lvlJc w:val="left"/>
      <w:pPr>
        <w:ind w:left="720" w:hanging="360"/>
      </w:pPr>
      <w:rPr>
        <w:rFonts w:ascii="Comic Sans MS" w:eastAsia="Comic Sans MS" w:hAnsi="Comic Sans MS" w:cs="Comic Sans MS"/>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1C452D21"/>
    <w:multiLevelType w:val="multilevel"/>
    <w:tmpl w:val="000877E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1C9B25D2"/>
    <w:multiLevelType w:val="multilevel"/>
    <w:tmpl w:val="3C4ED9A6"/>
    <w:lvl w:ilvl="0">
      <w:start w:val="1"/>
      <w:numFmt w:val="bullet"/>
      <w:lvlText w:val="o"/>
      <w:lvlJc w:val="left"/>
      <w:pPr>
        <w:ind w:left="720" w:hanging="360"/>
      </w:pPr>
      <w:rPr>
        <w:rFonts w:ascii="Courier New" w:eastAsia="Courier New" w:hAnsi="Courier New" w:cs="Courier New"/>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1FC6285F"/>
    <w:multiLevelType w:val="multilevel"/>
    <w:tmpl w:val="17045BD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21A2000E"/>
    <w:multiLevelType w:val="multilevel"/>
    <w:tmpl w:val="9D02C79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2BE6465D"/>
    <w:multiLevelType w:val="multilevel"/>
    <w:tmpl w:val="688AEF5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2C253E24"/>
    <w:multiLevelType w:val="multilevel"/>
    <w:tmpl w:val="6388AF7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2" w15:restartNumberingAfterBreak="0">
    <w:nsid w:val="2E6C1504"/>
    <w:multiLevelType w:val="multilevel"/>
    <w:tmpl w:val="FFA0615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324256C1"/>
    <w:multiLevelType w:val="multilevel"/>
    <w:tmpl w:val="0A6632D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36CA121F"/>
    <w:multiLevelType w:val="multilevel"/>
    <w:tmpl w:val="D79ACBD2"/>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5" w15:restartNumberingAfterBreak="0">
    <w:nsid w:val="42267F05"/>
    <w:multiLevelType w:val="multilevel"/>
    <w:tmpl w:val="75C2FA1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44872575"/>
    <w:multiLevelType w:val="multilevel"/>
    <w:tmpl w:val="55B09E6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4A5564A2"/>
    <w:multiLevelType w:val="multilevel"/>
    <w:tmpl w:val="D2DE0EA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563D3035"/>
    <w:multiLevelType w:val="multilevel"/>
    <w:tmpl w:val="3C78518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5C185D45"/>
    <w:multiLevelType w:val="multilevel"/>
    <w:tmpl w:val="C1B27A20"/>
    <w:lvl w:ilvl="0">
      <w:start w:val="1"/>
      <w:numFmt w:val="bullet"/>
      <w:lvlText w:val="●"/>
      <w:lvlJc w:val="left"/>
      <w:pPr>
        <w:ind w:left="720" w:hanging="360"/>
      </w:pPr>
      <w:rPr>
        <w:rFonts w:ascii="Noto Sans Symbols" w:eastAsia="Noto Sans Symbols" w:hAnsi="Noto Sans Symbols" w:cs="Noto Sans Symbols"/>
        <w:vertAlign w:val="baseline"/>
      </w:rPr>
    </w:lvl>
    <w:lvl w:ilvl="1">
      <w:numFmt w:val="bullet"/>
      <w:lvlText w:val="–"/>
      <w:lvlJc w:val="left"/>
      <w:pPr>
        <w:ind w:left="1440" w:hanging="360"/>
      </w:pPr>
      <w:rPr>
        <w:rFonts w:ascii="Comic Sans MS" w:eastAsia="Comic Sans MS" w:hAnsi="Comic Sans MS" w:cs="Comic Sans MS"/>
        <w:color w:val="0000FF"/>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656A568E"/>
    <w:multiLevelType w:val="multilevel"/>
    <w:tmpl w:val="AD644BD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1" w15:restartNumberingAfterBreak="0">
    <w:nsid w:val="77C50305"/>
    <w:multiLevelType w:val="multilevel"/>
    <w:tmpl w:val="1F544BB0"/>
    <w:lvl w:ilvl="0">
      <w:start w:val="1"/>
      <w:numFmt w:val="bullet"/>
      <w:lvlText w:val="●"/>
      <w:lvlJc w:val="left"/>
      <w:pPr>
        <w:ind w:left="1353" w:hanging="359"/>
      </w:pPr>
      <w:rPr>
        <w:rFonts w:ascii="Noto Sans Symbols" w:eastAsia="Noto Sans Symbols" w:hAnsi="Noto Sans Symbols" w:cs="Noto Sans Symbols"/>
        <w:vertAlign w:val="baseline"/>
      </w:rPr>
    </w:lvl>
    <w:lvl w:ilvl="1">
      <w:start w:val="1"/>
      <w:numFmt w:val="bullet"/>
      <w:lvlText w:val="o"/>
      <w:lvlJc w:val="left"/>
      <w:pPr>
        <w:ind w:left="2073" w:hanging="360"/>
      </w:pPr>
      <w:rPr>
        <w:rFonts w:ascii="Courier New" w:eastAsia="Courier New" w:hAnsi="Courier New" w:cs="Courier New"/>
        <w:vertAlign w:val="baseline"/>
      </w:rPr>
    </w:lvl>
    <w:lvl w:ilvl="2">
      <w:start w:val="1"/>
      <w:numFmt w:val="bullet"/>
      <w:lvlText w:val="▪"/>
      <w:lvlJc w:val="left"/>
      <w:pPr>
        <w:ind w:left="2793" w:hanging="360"/>
      </w:pPr>
      <w:rPr>
        <w:rFonts w:ascii="Noto Sans Symbols" w:eastAsia="Noto Sans Symbols" w:hAnsi="Noto Sans Symbols" w:cs="Noto Sans Symbols"/>
        <w:vertAlign w:val="baseline"/>
      </w:rPr>
    </w:lvl>
    <w:lvl w:ilvl="3">
      <w:start w:val="1"/>
      <w:numFmt w:val="bullet"/>
      <w:lvlText w:val="●"/>
      <w:lvlJc w:val="left"/>
      <w:pPr>
        <w:ind w:left="3513" w:hanging="360"/>
      </w:pPr>
      <w:rPr>
        <w:rFonts w:ascii="Noto Sans Symbols" w:eastAsia="Noto Sans Symbols" w:hAnsi="Noto Sans Symbols" w:cs="Noto Sans Symbols"/>
        <w:vertAlign w:val="baseline"/>
      </w:rPr>
    </w:lvl>
    <w:lvl w:ilvl="4">
      <w:start w:val="1"/>
      <w:numFmt w:val="bullet"/>
      <w:lvlText w:val="o"/>
      <w:lvlJc w:val="left"/>
      <w:pPr>
        <w:ind w:left="4233" w:hanging="360"/>
      </w:pPr>
      <w:rPr>
        <w:rFonts w:ascii="Courier New" w:eastAsia="Courier New" w:hAnsi="Courier New" w:cs="Courier New"/>
        <w:vertAlign w:val="baseline"/>
      </w:rPr>
    </w:lvl>
    <w:lvl w:ilvl="5">
      <w:start w:val="1"/>
      <w:numFmt w:val="bullet"/>
      <w:lvlText w:val="▪"/>
      <w:lvlJc w:val="left"/>
      <w:pPr>
        <w:ind w:left="4953" w:hanging="360"/>
      </w:pPr>
      <w:rPr>
        <w:rFonts w:ascii="Noto Sans Symbols" w:eastAsia="Noto Sans Symbols" w:hAnsi="Noto Sans Symbols" w:cs="Noto Sans Symbols"/>
        <w:vertAlign w:val="baseline"/>
      </w:rPr>
    </w:lvl>
    <w:lvl w:ilvl="6">
      <w:start w:val="1"/>
      <w:numFmt w:val="bullet"/>
      <w:lvlText w:val="●"/>
      <w:lvlJc w:val="left"/>
      <w:pPr>
        <w:ind w:left="5673" w:hanging="360"/>
      </w:pPr>
      <w:rPr>
        <w:rFonts w:ascii="Noto Sans Symbols" w:eastAsia="Noto Sans Symbols" w:hAnsi="Noto Sans Symbols" w:cs="Noto Sans Symbols"/>
        <w:vertAlign w:val="baseline"/>
      </w:rPr>
    </w:lvl>
    <w:lvl w:ilvl="7">
      <w:start w:val="1"/>
      <w:numFmt w:val="bullet"/>
      <w:lvlText w:val="o"/>
      <w:lvlJc w:val="left"/>
      <w:pPr>
        <w:ind w:left="6393" w:hanging="360"/>
      </w:pPr>
      <w:rPr>
        <w:rFonts w:ascii="Courier New" w:eastAsia="Courier New" w:hAnsi="Courier New" w:cs="Courier New"/>
        <w:vertAlign w:val="baseline"/>
      </w:rPr>
    </w:lvl>
    <w:lvl w:ilvl="8">
      <w:start w:val="1"/>
      <w:numFmt w:val="bullet"/>
      <w:lvlText w:val="▪"/>
      <w:lvlJc w:val="left"/>
      <w:pPr>
        <w:ind w:left="7113" w:hanging="360"/>
      </w:pPr>
      <w:rPr>
        <w:rFonts w:ascii="Noto Sans Symbols" w:eastAsia="Noto Sans Symbols" w:hAnsi="Noto Sans Symbols" w:cs="Noto Sans Symbols"/>
        <w:vertAlign w:val="baseline"/>
      </w:rPr>
    </w:lvl>
  </w:abstractNum>
  <w:abstractNum w:abstractNumId="22" w15:restartNumberingAfterBreak="0">
    <w:nsid w:val="79631A11"/>
    <w:multiLevelType w:val="multilevel"/>
    <w:tmpl w:val="6D8E58BA"/>
    <w:lvl w:ilvl="0">
      <w:numFmt w:val="bullet"/>
      <w:lvlText w:val="–"/>
      <w:lvlJc w:val="left"/>
      <w:pPr>
        <w:ind w:left="720" w:hanging="360"/>
      </w:pPr>
      <w:rPr>
        <w:rFonts w:ascii="Comic Sans MS" w:eastAsia="Comic Sans MS" w:hAnsi="Comic Sans MS" w:cs="Comic Sans MS"/>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4"/>
  </w:num>
  <w:num w:numId="2">
    <w:abstractNumId w:val="20"/>
  </w:num>
  <w:num w:numId="3">
    <w:abstractNumId w:val="21"/>
  </w:num>
  <w:num w:numId="4">
    <w:abstractNumId w:val="1"/>
  </w:num>
  <w:num w:numId="5">
    <w:abstractNumId w:val="10"/>
  </w:num>
  <w:num w:numId="6">
    <w:abstractNumId w:val="8"/>
  </w:num>
  <w:num w:numId="7">
    <w:abstractNumId w:val="19"/>
  </w:num>
  <w:num w:numId="8">
    <w:abstractNumId w:val="17"/>
  </w:num>
  <w:num w:numId="9">
    <w:abstractNumId w:val="6"/>
  </w:num>
  <w:num w:numId="10">
    <w:abstractNumId w:val="3"/>
  </w:num>
  <w:num w:numId="11">
    <w:abstractNumId w:val="16"/>
  </w:num>
  <w:num w:numId="12">
    <w:abstractNumId w:val="13"/>
  </w:num>
  <w:num w:numId="13">
    <w:abstractNumId w:val="7"/>
  </w:num>
  <w:num w:numId="14">
    <w:abstractNumId w:val="12"/>
  </w:num>
  <w:num w:numId="15">
    <w:abstractNumId w:val="18"/>
  </w:num>
  <w:num w:numId="16">
    <w:abstractNumId w:val="0"/>
  </w:num>
  <w:num w:numId="17">
    <w:abstractNumId w:val="9"/>
  </w:num>
  <w:num w:numId="18">
    <w:abstractNumId w:val="2"/>
  </w:num>
  <w:num w:numId="19">
    <w:abstractNumId w:val="15"/>
  </w:num>
  <w:num w:numId="20">
    <w:abstractNumId w:val="5"/>
  </w:num>
  <w:num w:numId="21">
    <w:abstractNumId w:val="22"/>
  </w:num>
  <w:num w:numId="22">
    <w:abstractNumId w:val="1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2D0"/>
    <w:rsid w:val="003D60A4"/>
    <w:rsid w:val="004D6E28"/>
    <w:rsid w:val="007562D0"/>
    <w:rsid w:val="008653FA"/>
    <w:rsid w:val="008B06D7"/>
    <w:rsid w:val="00904B25"/>
    <w:rsid w:val="009945A5"/>
    <w:rsid w:val="00B457E9"/>
    <w:rsid w:val="00B55EFB"/>
    <w:rsid w:val="00B5675F"/>
    <w:rsid w:val="00C21BE0"/>
    <w:rsid w:val="00C54FD9"/>
    <w:rsid w:val="00CF7C6E"/>
    <w:rsid w:val="00F36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F218C"/>
  <w15:docId w15:val="{F18C576C-EB7C-4551-9B9A-D6FA6D84A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B55EFB"/>
    <w:pPr>
      <w:tabs>
        <w:tab w:val="center" w:pos="4536"/>
        <w:tab w:val="right" w:pos="9072"/>
      </w:tabs>
    </w:pPr>
  </w:style>
  <w:style w:type="character" w:customStyle="1" w:styleId="En-tteCar">
    <w:name w:val="En-tête Car"/>
    <w:basedOn w:val="Policepardfaut"/>
    <w:link w:val="En-tte"/>
    <w:uiPriority w:val="99"/>
    <w:rsid w:val="00B55EFB"/>
  </w:style>
  <w:style w:type="paragraph" w:styleId="Pieddepage">
    <w:name w:val="footer"/>
    <w:basedOn w:val="Normal"/>
    <w:link w:val="PieddepageCar"/>
    <w:uiPriority w:val="99"/>
    <w:unhideWhenUsed/>
    <w:rsid w:val="00B55EFB"/>
    <w:pPr>
      <w:tabs>
        <w:tab w:val="center" w:pos="4536"/>
        <w:tab w:val="right" w:pos="9072"/>
      </w:tabs>
    </w:pPr>
  </w:style>
  <w:style w:type="character" w:customStyle="1" w:styleId="PieddepageCar">
    <w:name w:val="Pied de page Car"/>
    <w:basedOn w:val="Policepardfaut"/>
    <w:link w:val="Pieddepage"/>
    <w:uiPriority w:val="99"/>
    <w:rsid w:val="00B55E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lune.application.developpement-durable.gouv.fr/externe/Accueil.d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539</Words>
  <Characters>2967</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ENGELS BRUNO</dc:creator>
  <cp:lastModifiedBy>Laurent MARCOUX</cp:lastModifiedBy>
  <cp:revision>9</cp:revision>
  <dcterms:created xsi:type="dcterms:W3CDTF">2021-07-21T17:35:00Z</dcterms:created>
  <dcterms:modified xsi:type="dcterms:W3CDTF">2021-11-25T17:28:00Z</dcterms:modified>
</cp:coreProperties>
</file>